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CB9" w:rsidRPr="000F046C" w:rsidRDefault="00275932" w:rsidP="004915A1">
      <w:pPr>
        <w:jc w:val="center"/>
        <w:rPr>
          <w:b/>
          <w:sz w:val="20"/>
          <w:szCs w:val="20"/>
          <w:u w:val="single"/>
        </w:rPr>
      </w:pPr>
      <w:r>
        <w:rPr>
          <w:b/>
          <w:sz w:val="20"/>
          <w:szCs w:val="20"/>
          <w:u w:val="single"/>
        </w:rPr>
        <w:t>Service Proposition</w:t>
      </w:r>
      <w:r w:rsidR="008C724C">
        <w:rPr>
          <w:b/>
          <w:sz w:val="20"/>
          <w:szCs w:val="20"/>
          <w:u w:val="single"/>
        </w:rPr>
        <w:t xml:space="preserve"> &amp;</w:t>
      </w:r>
      <w:r w:rsidR="004915A1" w:rsidRPr="000F046C">
        <w:rPr>
          <w:b/>
          <w:sz w:val="20"/>
          <w:szCs w:val="20"/>
          <w:u w:val="single"/>
        </w:rPr>
        <w:t xml:space="preserve"> Engagement</w:t>
      </w:r>
    </w:p>
    <w:p w:rsidR="004915A1" w:rsidRPr="00222AB2" w:rsidRDefault="004915A1" w:rsidP="004915A1">
      <w:pPr>
        <w:rPr>
          <w:b/>
          <w:sz w:val="20"/>
          <w:szCs w:val="20"/>
        </w:rPr>
      </w:pPr>
      <w:r w:rsidRPr="000F046C">
        <w:rPr>
          <w:sz w:val="20"/>
          <w:szCs w:val="20"/>
        </w:rPr>
        <w:t xml:space="preserve">This agreement is made between:  </w:t>
      </w:r>
      <w:r w:rsidR="00E7488C">
        <w:rPr>
          <w:sz w:val="20"/>
          <w:szCs w:val="20"/>
        </w:rPr>
        <w:t>FPC Financial Services Ltd</w:t>
      </w:r>
    </w:p>
    <w:p w:rsidR="004915A1" w:rsidRPr="000F046C" w:rsidRDefault="004915A1" w:rsidP="004915A1">
      <w:pPr>
        <w:rPr>
          <w:sz w:val="20"/>
          <w:szCs w:val="20"/>
        </w:rPr>
      </w:pPr>
      <w:r w:rsidRPr="00222AB2">
        <w:rPr>
          <w:b/>
          <w:sz w:val="20"/>
          <w:szCs w:val="20"/>
        </w:rPr>
        <w:t>Client Name</w:t>
      </w:r>
      <w:r w:rsidR="00E7488C">
        <w:rPr>
          <w:b/>
          <w:sz w:val="20"/>
          <w:szCs w:val="20"/>
        </w:rPr>
        <w:t xml:space="preserve"> - </w:t>
      </w:r>
    </w:p>
    <w:p w:rsidR="004915A1" w:rsidRPr="00275932" w:rsidRDefault="004915A1" w:rsidP="004915A1">
      <w:pPr>
        <w:rPr>
          <w:b/>
          <w:sz w:val="20"/>
          <w:szCs w:val="20"/>
        </w:rPr>
      </w:pPr>
      <w:r w:rsidRPr="00275932">
        <w:rPr>
          <w:b/>
          <w:sz w:val="20"/>
          <w:szCs w:val="20"/>
        </w:rPr>
        <w:t>The</w:t>
      </w:r>
      <w:r w:rsidR="00E7488C" w:rsidRPr="00275932">
        <w:rPr>
          <w:b/>
          <w:sz w:val="20"/>
          <w:szCs w:val="20"/>
        </w:rPr>
        <w:t xml:space="preserve"> Client</w:t>
      </w:r>
      <w:r w:rsidRPr="00275932">
        <w:rPr>
          <w:b/>
          <w:sz w:val="20"/>
          <w:szCs w:val="20"/>
        </w:rPr>
        <w:t xml:space="preserve"> Correspondence Address is: </w:t>
      </w:r>
    </w:p>
    <w:p w:rsidR="004915A1" w:rsidRPr="000F046C" w:rsidRDefault="004915A1" w:rsidP="004915A1">
      <w:pPr>
        <w:rPr>
          <w:sz w:val="20"/>
          <w:szCs w:val="20"/>
        </w:rPr>
      </w:pPr>
      <w:r w:rsidRPr="000F046C">
        <w:rPr>
          <w:sz w:val="20"/>
          <w:szCs w:val="20"/>
        </w:rPr>
        <w:t>This agreement is supplementary to our Client Agreement and sets out the basis on which we charge for our services.</w:t>
      </w:r>
    </w:p>
    <w:p w:rsidR="004915A1" w:rsidRPr="000F046C" w:rsidRDefault="004915A1" w:rsidP="004915A1">
      <w:pPr>
        <w:rPr>
          <w:sz w:val="20"/>
          <w:szCs w:val="20"/>
        </w:rPr>
      </w:pPr>
      <w:r w:rsidRPr="000F046C">
        <w:rPr>
          <w:sz w:val="20"/>
          <w:szCs w:val="20"/>
        </w:rPr>
        <w:t>We recognise that all our clients have different financial needs and objectives and we will build a plan appropriate to the needs of each client.</w:t>
      </w:r>
    </w:p>
    <w:p w:rsidR="004915A1" w:rsidRPr="000F046C" w:rsidRDefault="004915A1" w:rsidP="004915A1">
      <w:pPr>
        <w:rPr>
          <w:sz w:val="20"/>
          <w:szCs w:val="20"/>
        </w:rPr>
      </w:pPr>
      <w:r w:rsidRPr="000F046C">
        <w:rPr>
          <w:sz w:val="20"/>
          <w:szCs w:val="20"/>
        </w:rPr>
        <w:t>In order to clarify the expectations of all parties and to provide transparency of charges we set out in this document the services available and associated costs.  Please feel free to contact us if you wish to discuss an</w:t>
      </w:r>
      <w:r w:rsidR="00AC1B98">
        <w:rPr>
          <w:sz w:val="20"/>
          <w:szCs w:val="20"/>
        </w:rPr>
        <w:t>y</w:t>
      </w:r>
      <w:r w:rsidRPr="000F046C">
        <w:rPr>
          <w:sz w:val="20"/>
          <w:szCs w:val="20"/>
        </w:rPr>
        <w:t xml:space="preserve"> aspect of these terms.</w:t>
      </w:r>
    </w:p>
    <w:p w:rsidR="004915A1" w:rsidRPr="000F046C" w:rsidRDefault="004915A1" w:rsidP="004915A1">
      <w:pPr>
        <w:rPr>
          <w:b/>
          <w:sz w:val="20"/>
          <w:szCs w:val="20"/>
          <w:u w:val="single"/>
        </w:rPr>
      </w:pPr>
      <w:r w:rsidRPr="000F046C">
        <w:rPr>
          <w:b/>
          <w:sz w:val="20"/>
          <w:szCs w:val="20"/>
          <w:u w:val="single"/>
        </w:rPr>
        <w:t>The Financial Planning Process</w:t>
      </w:r>
    </w:p>
    <w:p w:rsidR="004915A1" w:rsidRPr="000F046C" w:rsidRDefault="004915A1" w:rsidP="004915A1">
      <w:pPr>
        <w:rPr>
          <w:sz w:val="20"/>
          <w:szCs w:val="20"/>
        </w:rPr>
      </w:pPr>
      <w:r w:rsidRPr="000F046C">
        <w:rPr>
          <w:sz w:val="20"/>
          <w:szCs w:val="20"/>
        </w:rPr>
        <w:t>There are four stages to the financial planning process, each of which is separately costed, although the initial consultation is at our cost:</w:t>
      </w:r>
    </w:p>
    <w:p w:rsidR="004915A1" w:rsidRPr="000F046C" w:rsidRDefault="004915A1" w:rsidP="004915A1">
      <w:pPr>
        <w:pStyle w:val="ListParagraph"/>
        <w:numPr>
          <w:ilvl w:val="0"/>
          <w:numId w:val="1"/>
        </w:numPr>
        <w:rPr>
          <w:sz w:val="20"/>
          <w:szCs w:val="20"/>
        </w:rPr>
      </w:pPr>
      <w:r w:rsidRPr="000F046C">
        <w:rPr>
          <w:sz w:val="20"/>
          <w:szCs w:val="20"/>
        </w:rPr>
        <w:t>Initial consultation</w:t>
      </w:r>
    </w:p>
    <w:p w:rsidR="004915A1" w:rsidRPr="000F046C" w:rsidRDefault="00AC1B98" w:rsidP="004915A1">
      <w:pPr>
        <w:pStyle w:val="ListParagraph"/>
        <w:numPr>
          <w:ilvl w:val="0"/>
          <w:numId w:val="1"/>
        </w:numPr>
        <w:rPr>
          <w:sz w:val="20"/>
          <w:szCs w:val="20"/>
        </w:rPr>
      </w:pPr>
      <w:r>
        <w:rPr>
          <w:sz w:val="20"/>
          <w:szCs w:val="20"/>
        </w:rPr>
        <w:t>Financial Review and Recommendation</w:t>
      </w:r>
    </w:p>
    <w:p w:rsidR="004915A1" w:rsidRPr="000F046C" w:rsidRDefault="00AC1B98" w:rsidP="004915A1">
      <w:pPr>
        <w:pStyle w:val="ListParagraph"/>
        <w:numPr>
          <w:ilvl w:val="0"/>
          <w:numId w:val="1"/>
        </w:numPr>
        <w:rPr>
          <w:sz w:val="20"/>
          <w:szCs w:val="20"/>
        </w:rPr>
      </w:pPr>
      <w:r>
        <w:rPr>
          <w:sz w:val="20"/>
          <w:szCs w:val="20"/>
        </w:rPr>
        <w:t xml:space="preserve">Policy arrangement and </w:t>
      </w:r>
      <w:r w:rsidR="00AD415A">
        <w:rPr>
          <w:sz w:val="20"/>
          <w:szCs w:val="20"/>
        </w:rPr>
        <w:t>Implementation</w:t>
      </w:r>
      <w:r w:rsidR="004915A1" w:rsidRPr="000F046C">
        <w:rPr>
          <w:sz w:val="20"/>
          <w:szCs w:val="20"/>
        </w:rPr>
        <w:t xml:space="preserve"> </w:t>
      </w:r>
    </w:p>
    <w:p w:rsidR="004915A1" w:rsidRPr="000F046C" w:rsidRDefault="004915A1" w:rsidP="004915A1">
      <w:pPr>
        <w:pStyle w:val="ListParagraph"/>
        <w:numPr>
          <w:ilvl w:val="0"/>
          <w:numId w:val="1"/>
        </w:numPr>
        <w:rPr>
          <w:sz w:val="20"/>
          <w:szCs w:val="20"/>
        </w:rPr>
      </w:pPr>
      <w:r w:rsidRPr="000F046C">
        <w:rPr>
          <w:sz w:val="20"/>
          <w:szCs w:val="20"/>
        </w:rPr>
        <w:t>Review – Ongoing care and advice through our ongoing Management Service</w:t>
      </w:r>
    </w:p>
    <w:p w:rsidR="004915A1" w:rsidRPr="000F046C" w:rsidRDefault="004915A1" w:rsidP="004915A1">
      <w:pPr>
        <w:rPr>
          <w:sz w:val="20"/>
          <w:szCs w:val="20"/>
        </w:rPr>
      </w:pPr>
      <w:r w:rsidRPr="000F046C">
        <w:rPr>
          <w:sz w:val="20"/>
          <w:szCs w:val="20"/>
        </w:rPr>
        <w:t>Each of these services and the associated costs are explained below.</w:t>
      </w:r>
    </w:p>
    <w:p w:rsidR="004915A1" w:rsidRPr="000F046C" w:rsidRDefault="004915A1" w:rsidP="004915A1">
      <w:pPr>
        <w:rPr>
          <w:b/>
          <w:sz w:val="20"/>
          <w:szCs w:val="20"/>
          <w:u w:val="single"/>
        </w:rPr>
      </w:pPr>
      <w:r w:rsidRPr="000F046C">
        <w:rPr>
          <w:b/>
          <w:sz w:val="20"/>
          <w:szCs w:val="20"/>
          <w:u w:val="single"/>
        </w:rPr>
        <w:t>Initial Consultation</w:t>
      </w:r>
    </w:p>
    <w:p w:rsidR="004915A1" w:rsidRPr="000F046C" w:rsidRDefault="004915A1" w:rsidP="004915A1">
      <w:pPr>
        <w:rPr>
          <w:sz w:val="20"/>
          <w:szCs w:val="20"/>
        </w:rPr>
      </w:pPr>
      <w:r w:rsidRPr="000F046C">
        <w:rPr>
          <w:sz w:val="20"/>
          <w:szCs w:val="20"/>
        </w:rPr>
        <w:t>The initial consultation will comprise of:</w:t>
      </w:r>
    </w:p>
    <w:p w:rsidR="004915A1" w:rsidRPr="000F046C" w:rsidRDefault="004915A1" w:rsidP="004915A1">
      <w:pPr>
        <w:pStyle w:val="ListParagraph"/>
        <w:numPr>
          <w:ilvl w:val="0"/>
          <w:numId w:val="2"/>
        </w:numPr>
        <w:rPr>
          <w:sz w:val="20"/>
          <w:szCs w:val="20"/>
        </w:rPr>
      </w:pPr>
      <w:r w:rsidRPr="000F046C">
        <w:rPr>
          <w:sz w:val="20"/>
          <w:szCs w:val="20"/>
        </w:rPr>
        <w:t>Initial meeting with one of our qualified financial planners</w:t>
      </w:r>
    </w:p>
    <w:p w:rsidR="004915A1" w:rsidRPr="000F046C" w:rsidRDefault="004915A1" w:rsidP="004915A1">
      <w:pPr>
        <w:pStyle w:val="ListParagraph"/>
        <w:numPr>
          <w:ilvl w:val="0"/>
          <w:numId w:val="2"/>
        </w:numPr>
        <w:rPr>
          <w:sz w:val="20"/>
          <w:szCs w:val="20"/>
        </w:rPr>
      </w:pPr>
      <w:r w:rsidRPr="000F046C">
        <w:rPr>
          <w:sz w:val="20"/>
          <w:szCs w:val="20"/>
        </w:rPr>
        <w:t>A chance to ask questions and understand what we do</w:t>
      </w:r>
    </w:p>
    <w:p w:rsidR="004915A1" w:rsidRPr="000F046C" w:rsidRDefault="000F046C" w:rsidP="004915A1">
      <w:pPr>
        <w:pStyle w:val="ListParagraph"/>
        <w:numPr>
          <w:ilvl w:val="0"/>
          <w:numId w:val="2"/>
        </w:numPr>
        <w:rPr>
          <w:sz w:val="20"/>
          <w:szCs w:val="20"/>
        </w:rPr>
      </w:pPr>
      <w:r w:rsidRPr="000F046C">
        <w:rPr>
          <w:sz w:val="20"/>
          <w:szCs w:val="20"/>
        </w:rPr>
        <w:t>Opportunity for us to find out what help you require</w:t>
      </w:r>
    </w:p>
    <w:p w:rsidR="000F046C" w:rsidRPr="000F046C" w:rsidRDefault="000F046C" w:rsidP="004915A1">
      <w:pPr>
        <w:pStyle w:val="ListParagraph"/>
        <w:numPr>
          <w:ilvl w:val="0"/>
          <w:numId w:val="2"/>
        </w:numPr>
        <w:rPr>
          <w:sz w:val="20"/>
          <w:szCs w:val="20"/>
        </w:rPr>
      </w:pPr>
      <w:r w:rsidRPr="000F046C">
        <w:rPr>
          <w:sz w:val="20"/>
          <w:szCs w:val="20"/>
        </w:rPr>
        <w:t>Discuss the options available to you from our menu of services</w:t>
      </w:r>
    </w:p>
    <w:p w:rsidR="000F046C" w:rsidRPr="000F046C" w:rsidRDefault="000F046C" w:rsidP="004915A1">
      <w:pPr>
        <w:pStyle w:val="ListParagraph"/>
        <w:numPr>
          <w:ilvl w:val="0"/>
          <w:numId w:val="2"/>
        </w:numPr>
        <w:rPr>
          <w:sz w:val="20"/>
          <w:szCs w:val="20"/>
        </w:rPr>
      </w:pPr>
      <w:r w:rsidRPr="000F046C">
        <w:rPr>
          <w:sz w:val="20"/>
          <w:szCs w:val="20"/>
        </w:rPr>
        <w:t>Information about our charges</w:t>
      </w:r>
    </w:p>
    <w:p w:rsidR="000F046C" w:rsidRPr="000F046C" w:rsidRDefault="000F046C" w:rsidP="000F046C">
      <w:pPr>
        <w:rPr>
          <w:b/>
          <w:i/>
          <w:sz w:val="20"/>
          <w:szCs w:val="20"/>
        </w:rPr>
      </w:pPr>
      <w:r w:rsidRPr="000F046C">
        <w:rPr>
          <w:b/>
          <w:i/>
          <w:sz w:val="20"/>
          <w:szCs w:val="20"/>
        </w:rPr>
        <w:t>There is no charge for this initial consultation</w:t>
      </w:r>
      <w:r w:rsidR="00C56EEE">
        <w:rPr>
          <w:b/>
          <w:i/>
          <w:sz w:val="20"/>
          <w:szCs w:val="20"/>
        </w:rPr>
        <w:t xml:space="preserve"> for the first half hour</w:t>
      </w:r>
      <w:r w:rsidR="001C0F21">
        <w:rPr>
          <w:b/>
          <w:i/>
          <w:sz w:val="20"/>
          <w:szCs w:val="20"/>
        </w:rPr>
        <w:t xml:space="preserve"> for new clients.</w:t>
      </w:r>
    </w:p>
    <w:p w:rsidR="000F046C" w:rsidRPr="000F046C" w:rsidRDefault="000F046C" w:rsidP="000F046C">
      <w:pPr>
        <w:rPr>
          <w:b/>
          <w:sz w:val="20"/>
          <w:szCs w:val="20"/>
          <w:u w:val="single"/>
        </w:rPr>
      </w:pPr>
      <w:r w:rsidRPr="000F046C">
        <w:rPr>
          <w:b/>
          <w:sz w:val="20"/>
          <w:szCs w:val="20"/>
          <w:u w:val="single"/>
        </w:rPr>
        <w:t xml:space="preserve"> Financial</w:t>
      </w:r>
      <w:r w:rsidR="00AC1B98">
        <w:rPr>
          <w:b/>
          <w:sz w:val="20"/>
          <w:szCs w:val="20"/>
          <w:u w:val="single"/>
        </w:rPr>
        <w:t xml:space="preserve"> Review and Recommendation</w:t>
      </w:r>
    </w:p>
    <w:p w:rsidR="000F046C" w:rsidRPr="000F046C" w:rsidRDefault="000F046C" w:rsidP="000F046C">
      <w:pPr>
        <w:rPr>
          <w:sz w:val="20"/>
          <w:szCs w:val="20"/>
        </w:rPr>
      </w:pPr>
      <w:r w:rsidRPr="000F046C">
        <w:rPr>
          <w:sz w:val="20"/>
          <w:szCs w:val="20"/>
        </w:rPr>
        <w:t>We will carry out an extensive assessment of your financial circumstances at the outset to establish your financial planning requirements.  This will include:</w:t>
      </w:r>
    </w:p>
    <w:p w:rsidR="00AC1B98" w:rsidRPr="00AC1B98" w:rsidRDefault="00AC1B98" w:rsidP="00AC1B98">
      <w:pPr>
        <w:pStyle w:val="ListParagraph"/>
        <w:numPr>
          <w:ilvl w:val="0"/>
          <w:numId w:val="7"/>
        </w:numPr>
        <w:rPr>
          <w:rFonts w:cs="Calibri"/>
          <w:sz w:val="20"/>
          <w:szCs w:val="20"/>
          <w:u w:val="single"/>
        </w:rPr>
      </w:pPr>
      <w:r w:rsidRPr="00AC1B98">
        <w:rPr>
          <w:rFonts w:cs="Calibri"/>
          <w:sz w:val="20"/>
          <w:szCs w:val="20"/>
        </w:rPr>
        <w:t>gathering of information about your existing financial arrangements and full personal circumstances;</w:t>
      </w:r>
    </w:p>
    <w:p w:rsidR="00AC1B98" w:rsidRPr="00AC1B98" w:rsidRDefault="00AC1B98" w:rsidP="00AC1B98">
      <w:pPr>
        <w:pStyle w:val="ListParagraph"/>
        <w:numPr>
          <w:ilvl w:val="0"/>
          <w:numId w:val="7"/>
        </w:numPr>
        <w:rPr>
          <w:rFonts w:cs="Calibri"/>
          <w:sz w:val="20"/>
          <w:szCs w:val="20"/>
          <w:u w:val="single"/>
        </w:rPr>
      </w:pPr>
      <w:r w:rsidRPr="00AC1B98">
        <w:rPr>
          <w:rFonts w:cs="Calibri"/>
          <w:sz w:val="20"/>
          <w:szCs w:val="20"/>
        </w:rPr>
        <w:t>understanding of your investment knowledge and attitude and tolerance towards investment risk;</w:t>
      </w:r>
    </w:p>
    <w:p w:rsidR="00AC1B98" w:rsidRPr="00AC1B98" w:rsidRDefault="00AC1B98" w:rsidP="00AC1B98">
      <w:pPr>
        <w:pStyle w:val="ListParagraph"/>
        <w:numPr>
          <w:ilvl w:val="0"/>
          <w:numId w:val="7"/>
        </w:numPr>
        <w:rPr>
          <w:rFonts w:cs="Calibri"/>
          <w:sz w:val="20"/>
          <w:szCs w:val="20"/>
          <w:u w:val="single"/>
        </w:rPr>
      </w:pPr>
      <w:r w:rsidRPr="00AC1B98">
        <w:rPr>
          <w:rFonts w:cs="Calibri"/>
          <w:sz w:val="20"/>
          <w:szCs w:val="20"/>
        </w:rPr>
        <w:t>recommendation of an asset allocation model that matches your risk profile and the subsequent assessment and suitability of any existing holdings;</w:t>
      </w:r>
    </w:p>
    <w:p w:rsidR="00AC1B98" w:rsidRPr="00AC1B98" w:rsidRDefault="00AC1B98" w:rsidP="00AC1B98">
      <w:pPr>
        <w:pStyle w:val="ListParagraph"/>
        <w:numPr>
          <w:ilvl w:val="0"/>
          <w:numId w:val="7"/>
        </w:numPr>
        <w:rPr>
          <w:rFonts w:cs="Calibri"/>
          <w:sz w:val="20"/>
          <w:szCs w:val="20"/>
          <w:u w:val="single"/>
        </w:rPr>
      </w:pPr>
      <w:r w:rsidRPr="00AC1B98">
        <w:rPr>
          <w:rFonts w:cs="Calibri"/>
          <w:sz w:val="20"/>
          <w:szCs w:val="20"/>
        </w:rPr>
        <w:t>preparing our recommendations to you;</w:t>
      </w:r>
    </w:p>
    <w:p w:rsidR="00AC1B98" w:rsidRPr="00AC1B98" w:rsidRDefault="00AC1B98" w:rsidP="00AC1B98">
      <w:pPr>
        <w:pStyle w:val="ListParagraph"/>
        <w:numPr>
          <w:ilvl w:val="0"/>
          <w:numId w:val="7"/>
        </w:numPr>
        <w:rPr>
          <w:rFonts w:cs="Calibri"/>
          <w:sz w:val="20"/>
          <w:szCs w:val="20"/>
          <w:u w:val="single"/>
        </w:rPr>
      </w:pPr>
      <w:r w:rsidRPr="00AC1B98">
        <w:rPr>
          <w:rFonts w:cs="Calibri"/>
          <w:sz w:val="20"/>
          <w:szCs w:val="20"/>
        </w:rPr>
        <w:t>Arranging a second appointment to explain and discuss our recommendations in detail.</w:t>
      </w:r>
    </w:p>
    <w:p w:rsidR="000F046C" w:rsidRPr="00220CEB" w:rsidRDefault="00220CEB" w:rsidP="000F046C">
      <w:pPr>
        <w:rPr>
          <w:sz w:val="20"/>
          <w:szCs w:val="20"/>
        </w:rPr>
      </w:pPr>
      <w:r w:rsidRPr="00220CEB">
        <w:rPr>
          <w:sz w:val="20"/>
          <w:szCs w:val="20"/>
        </w:rPr>
        <w:t>There is a charge of £500 for this service</w:t>
      </w:r>
      <w:r w:rsidR="005E1CA0">
        <w:rPr>
          <w:sz w:val="20"/>
          <w:szCs w:val="20"/>
        </w:rPr>
        <w:t>.  Usually we would</w:t>
      </w:r>
      <w:r w:rsidRPr="00220CEB">
        <w:rPr>
          <w:sz w:val="20"/>
          <w:szCs w:val="20"/>
        </w:rPr>
        <w:t xml:space="preserve"> offset this fee against the remuneration we receive at implementation stage.</w:t>
      </w:r>
    </w:p>
    <w:p w:rsidR="00292716" w:rsidRDefault="00220CEB" w:rsidP="000F046C">
      <w:pPr>
        <w:rPr>
          <w:sz w:val="20"/>
          <w:szCs w:val="20"/>
        </w:rPr>
      </w:pPr>
      <w:r w:rsidRPr="00220CEB">
        <w:rPr>
          <w:sz w:val="20"/>
          <w:szCs w:val="20"/>
        </w:rPr>
        <w:t>When you receive our report/financial plan it will be your decision whether to implement our recommendations either completely or in part.  A clear breakdown of what our fees are for implementations is included in our client agreement which you are in receipt of.</w:t>
      </w:r>
    </w:p>
    <w:p w:rsidR="00E7488C" w:rsidRDefault="00E7488C" w:rsidP="000F046C">
      <w:pPr>
        <w:rPr>
          <w:b/>
          <w:sz w:val="20"/>
          <w:szCs w:val="20"/>
          <w:u w:val="single"/>
        </w:rPr>
      </w:pPr>
    </w:p>
    <w:p w:rsidR="00220CEB" w:rsidRPr="00220CEB" w:rsidRDefault="00AC1B98" w:rsidP="000F046C">
      <w:pPr>
        <w:rPr>
          <w:b/>
          <w:sz w:val="20"/>
          <w:szCs w:val="20"/>
          <w:u w:val="single"/>
        </w:rPr>
      </w:pPr>
      <w:r>
        <w:rPr>
          <w:b/>
          <w:sz w:val="20"/>
          <w:szCs w:val="20"/>
          <w:u w:val="single"/>
        </w:rPr>
        <w:lastRenderedPageBreak/>
        <w:t xml:space="preserve">Policy arrangement and </w:t>
      </w:r>
      <w:r w:rsidR="00220CEB" w:rsidRPr="00220CEB">
        <w:rPr>
          <w:b/>
          <w:sz w:val="20"/>
          <w:szCs w:val="20"/>
          <w:u w:val="single"/>
        </w:rPr>
        <w:t>Implementation</w:t>
      </w:r>
    </w:p>
    <w:p w:rsidR="00220CEB" w:rsidRPr="00220CEB" w:rsidRDefault="00220CEB" w:rsidP="000F046C">
      <w:pPr>
        <w:rPr>
          <w:sz w:val="20"/>
          <w:szCs w:val="20"/>
        </w:rPr>
      </w:pPr>
      <w:r w:rsidRPr="00220CEB">
        <w:rPr>
          <w:sz w:val="20"/>
          <w:szCs w:val="20"/>
        </w:rPr>
        <w:t>The implementation of our recommendations includes where appropriate:</w:t>
      </w:r>
    </w:p>
    <w:p w:rsidR="00220CEB" w:rsidRPr="00220CEB" w:rsidRDefault="00220CEB" w:rsidP="00220CEB">
      <w:pPr>
        <w:pStyle w:val="ListParagraph"/>
        <w:numPr>
          <w:ilvl w:val="0"/>
          <w:numId w:val="5"/>
        </w:numPr>
        <w:rPr>
          <w:sz w:val="20"/>
          <w:szCs w:val="20"/>
        </w:rPr>
      </w:pPr>
      <w:r w:rsidRPr="00220CEB">
        <w:rPr>
          <w:sz w:val="20"/>
          <w:szCs w:val="20"/>
        </w:rPr>
        <w:t>Handling of all fund and policy administration on your behalf</w:t>
      </w:r>
    </w:p>
    <w:p w:rsidR="00220CEB" w:rsidRPr="00220CEB" w:rsidRDefault="00220CEB" w:rsidP="00220CEB">
      <w:pPr>
        <w:pStyle w:val="ListParagraph"/>
        <w:numPr>
          <w:ilvl w:val="0"/>
          <w:numId w:val="5"/>
        </w:numPr>
        <w:rPr>
          <w:sz w:val="20"/>
          <w:szCs w:val="20"/>
        </w:rPr>
      </w:pPr>
      <w:r w:rsidRPr="00220CEB">
        <w:rPr>
          <w:sz w:val="20"/>
          <w:szCs w:val="20"/>
        </w:rPr>
        <w:t>Regular updates to keep you informed of progress</w:t>
      </w:r>
    </w:p>
    <w:p w:rsidR="00220CEB" w:rsidRPr="00220CEB" w:rsidRDefault="00220CEB" w:rsidP="00220CEB">
      <w:pPr>
        <w:pStyle w:val="ListParagraph"/>
        <w:numPr>
          <w:ilvl w:val="0"/>
          <w:numId w:val="5"/>
        </w:numPr>
        <w:rPr>
          <w:sz w:val="20"/>
          <w:szCs w:val="20"/>
        </w:rPr>
      </w:pPr>
      <w:r w:rsidRPr="00220CEB">
        <w:rPr>
          <w:sz w:val="20"/>
          <w:szCs w:val="20"/>
        </w:rPr>
        <w:t>Ensure all you documents are issued in line with your expectations</w:t>
      </w:r>
    </w:p>
    <w:p w:rsidR="00220CEB" w:rsidRPr="00220CEB" w:rsidRDefault="00220CEB" w:rsidP="00220CEB">
      <w:pPr>
        <w:pStyle w:val="ListParagraph"/>
        <w:numPr>
          <w:ilvl w:val="0"/>
          <w:numId w:val="5"/>
        </w:numPr>
        <w:rPr>
          <w:sz w:val="20"/>
          <w:szCs w:val="20"/>
        </w:rPr>
      </w:pPr>
      <w:r w:rsidRPr="00220CEB">
        <w:rPr>
          <w:sz w:val="20"/>
          <w:szCs w:val="20"/>
        </w:rPr>
        <w:t>Confirmation of all actions taken on your behalf in writing</w:t>
      </w:r>
    </w:p>
    <w:p w:rsidR="00220CEB" w:rsidRPr="00BC5E04" w:rsidRDefault="00220CEB" w:rsidP="00220CEB">
      <w:pPr>
        <w:rPr>
          <w:b/>
          <w:sz w:val="20"/>
          <w:szCs w:val="20"/>
        </w:rPr>
      </w:pPr>
      <w:r w:rsidRPr="00BC5E04">
        <w:rPr>
          <w:b/>
          <w:sz w:val="20"/>
          <w:szCs w:val="20"/>
        </w:rPr>
        <w:t>Our fees for this part of the service are covered in detail within our client agreement which should be read in conjunction with this document.</w:t>
      </w:r>
    </w:p>
    <w:p w:rsidR="00220CEB" w:rsidRDefault="00220CEB" w:rsidP="00220CEB">
      <w:pPr>
        <w:rPr>
          <w:b/>
          <w:sz w:val="20"/>
          <w:szCs w:val="20"/>
          <w:u w:val="single"/>
        </w:rPr>
      </w:pPr>
      <w:r>
        <w:rPr>
          <w:b/>
          <w:sz w:val="20"/>
          <w:szCs w:val="20"/>
          <w:u w:val="single"/>
        </w:rPr>
        <w:t>Re</w:t>
      </w:r>
      <w:r w:rsidR="004536F3">
        <w:rPr>
          <w:b/>
          <w:sz w:val="20"/>
          <w:szCs w:val="20"/>
          <w:u w:val="single"/>
        </w:rPr>
        <w:t>views – Ongoing Management Service</w:t>
      </w:r>
    </w:p>
    <w:p w:rsidR="004536F3" w:rsidRDefault="004536F3" w:rsidP="00220CEB">
      <w:pPr>
        <w:rPr>
          <w:sz w:val="20"/>
          <w:szCs w:val="20"/>
        </w:rPr>
      </w:pPr>
      <w:r w:rsidRPr="004536F3">
        <w:rPr>
          <w:sz w:val="20"/>
          <w:szCs w:val="20"/>
        </w:rPr>
        <w:t>Your financial objectives may change over time due to changes in your lifestyle or circumstances. We believe it is essential to ensure that your portfolio continues to meet your lifestyle and investment objectives.  Our ongoing review and management service offers:</w:t>
      </w:r>
    </w:p>
    <w:p w:rsidR="004536F3" w:rsidRDefault="004536F3" w:rsidP="004536F3">
      <w:pPr>
        <w:pStyle w:val="ListParagraph"/>
        <w:numPr>
          <w:ilvl w:val="0"/>
          <w:numId w:val="6"/>
        </w:numPr>
        <w:rPr>
          <w:sz w:val="20"/>
          <w:szCs w:val="20"/>
        </w:rPr>
      </w:pPr>
      <w:r>
        <w:rPr>
          <w:sz w:val="20"/>
          <w:szCs w:val="20"/>
        </w:rPr>
        <w:t>Structured reviews to give you piece of mind</w:t>
      </w:r>
    </w:p>
    <w:p w:rsidR="004536F3" w:rsidRDefault="004536F3" w:rsidP="004536F3">
      <w:pPr>
        <w:pStyle w:val="ListParagraph"/>
        <w:numPr>
          <w:ilvl w:val="0"/>
          <w:numId w:val="6"/>
        </w:numPr>
        <w:rPr>
          <w:sz w:val="20"/>
          <w:szCs w:val="20"/>
        </w:rPr>
      </w:pPr>
      <w:r>
        <w:rPr>
          <w:sz w:val="20"/>
          <w:szCs w:val="20"/>
        </w:rPr>
        <w:t>Assessment of your current circumstances and any changes to your plans that are needed</w:t>
      </w:r>
    </w:p>
    <w:p w:rsidR="004536F3" w:rsidRDefault="004536F3" w:rsidP="004536F3">
      <w:pPr>
        <w:pStyle w:val="ListParagraph"/>
        <w:numPr>
          <w:ilvl w:val="0"/>
          <w:numId w:val="6"/>
        </w:numPr>
        <w:rPr>
          <w:sz w:val="20"/>
          <w:szCs w:val="20"/>
        </w:rPr>
      </w:pPr>
      <w:r>
        <w:rPr>
          <w:sz w:val="20"/>
          <w:szCs w:val="20"/>
        </w:rPr>
        <w:t>Regular updates and information regarding your holdings</w:t>
      </w:r>
    </w:p>
    <w:p w:rsidR="004536F3" w:rsidRDefault="004536F3" w:rsidP="004536F3">
      <w:pPr>
        <w:pStyle w:val="ListParagraph"/>
        <w:numPr>
          <w:ilvl w:val="0"/>
          <w:numId w:val="6"/>
        </w:numPr>
        <w:rPr>
          <w:sz w:val="20"/>
          <w:szCs w:val="20"/>
        </w:rPr>
      </w:pPr>
      <w:r>
        <w:rPr>
          <w:sz w:val="20"/>
          <w:szCs w:val="20"/>
        </w:rPr>
        <w:t>A choice of differing levels of support depending on your needs</w:t>
      </w:r>
    </w:p>
    <w:p w:rsidR="004536F3" w:rsidRDefault="004536F3" w:rsidP="004536F3">
      <w:pPr>
        <w:pStyle w:val="ListParagraph"/>
        <w:numPr>
          <w:ilvl w:val="0"/>
          <w:numId w:val="6"/>
        </w:numPr>
        <w:rPr>
          <w:sz w:val="20"/>
          <w:szCs w:val="20"/>
        </w:rPr>
      </w:pPr>
      <w:r>
        <w:rPr>
          <w:sz w:val="20"/>
          <w:szCs w:val="20"/>
        </w:rPr>
        <w:t>Ongoing support with correspondence and administration issues</w:t>
      </w:r>
    </w:p>
    <w:p w:rsidR="00D3302C" w:rsidRDefault="004536F3" w:rsidP="004536F3">
      <w:pPr>
        <w:rPr>
          <w:sz w:val="20"/>
          <w:szCs w:val="20"/>
        </w:rPr>
      </w:pPr>
      <w:r>
        <w:rPr>
          <w:sz w:val="20"/>
          <w:szCs w:val="20"/>
        </w:rPr>
        <w:t>We recognise that all clients</w:t>
      </w:r>
      <w:r w:rsidR="00AC1B98">
        <w:rPr>
          <w:sz w:val="20"/>
          <w:szCs w:val="20"/>
        </w:rPr>
        <w:t xml:space="preserve"> do not have the</w:t>
      </w:r>
      <w:r>
        <w:rPr>
          <w:sz w:val="20"/>
          <w:szCs w:val="20"/>
        </w:rPr>
        <w:t xml:space="preserve"> same service requirements therefore even though we do provide a guideline by way of our bandings you are free to choose the level of service that best suits your needs.  Our charges are guaranteed not to increase within the first 12 months of you</w:t>
      </w:r>
      <w:r w:rsidR="00AC1B98">
        <w:rPr>
          <w:sz w:val="20"/>
          <w:szCs w:val="20"/>
        </w:rPr>
        <w:t>r</w:t>
      </w:r>
      <w:r>
        <w:rPr>
          <w:sz w:val="20"/>
          <w:szCs w:val="20"/>
        </w:rPr>
        <w:t xml:space="preserve"> contract with us.  Should we need to increase our </w:t>
      </w:r>
      <w:r w:rsidR="00BC5E04">
        <w:rPr>
          <w:sz w:val="20"/>
          <w:szCs w:val="20"/>
        </w:rPr>
        <w:t>charges after this period, you will be given notice of this fact and the opportunity to decide whether to continue with the revised level of charges.  It should be noted that it is not compulsory for you to sign up to one of our services</w:t>
      </w:r>
      <w:r w:rsidR="00D3302C">
        <w:rPr>
          <w:sz w:val="20"/>
          <w:szCs w:val="20"/>
        </w:rPr>
        <w:t>.</w:t>
      </w:r>
      <w:r w:rsidR="00BC5E04">
        <w:rPr>
          <w:sz w:val="20"/>
          <w:szCs w:val="20"/>
        </w:rPr>
        <w:t xml:space="preserve"> </w:t>
      </w:r>
    </w:p>
    <w:p w:rsidR="00D3302C" w:rsidRDefault="00D3302C" w:rsidP="004536F3">
      <w:pPr>
        <w:rPr>
          <w:sz w:val="20"/>
          <w:szCs w:val="20"/>
        </w:rPr>
      </w:pPr>
    </w:p>
    <w:p w:rsidR="00BC5E04" w:rsidRDefault="00BC5E04" w:rsidP="004536F3">
      <w:pPr>
        <w:rPr>
          <w:b/>
          <w:sz w:val="20"/>
          <w:szCs w:val="20"/>
        </w:rPr>
      </w:pPr>
      <w:r w:rsidRPr="00BC5E04">
        <w:rPr>
          <w:b/>
          <w:sz w:val="20"/>
          <w:szCs w:val="20"/>
        </w:rPr>
        <w:t>Our fees for our ongoing management service as well as the services we provide are set out in the table overleaf:</w:t>
      </w:r>
    </w:p>
    <w:p w:rsidR="00BC5E04" w:rsidRDefault="00BC5E04">
      <w:pPr>
        <w:rPr>
          <w:b/>
          <w:sz w:val="20"/>
          <w:szCs w:val="20"/>
        </w:rPr>
      </w:pPr>
      <w:r>
        <w:rPr>
          <w:b/>
          <w:sz w:val="20"/>
          <w:szCs w:val="20"/>
        </w:rPr>
        <w:br w:type="page"/>
      </w:r>
    </w:p>
    <w:tbl>
      <w:tblPr>
        <w:tblStyle w:val="TableGrid"/>
        <w:tblpPr w:leftFromText="180" w:rightFromText="180" w:vertAnchor="page" w:horzAnchor="margin" w:tblpY="2191"/>
        <w:tblW w:w="9546" w:type="dxa"/>
        <w:tblLook w:val="04A0" w:firstRow="1" w:lastRow="0" w:firstColumn="1" w:lastColumn="0" w:noHBand="0" w:noVBand="1"/>
      </w:tblPr>
      <w:tblGrid>
        <w:gridCol w:w="5211"/>
        <w:gridCol w:w="1418"/>
        <w:gridCol w:w="1357"/>
        <w:gridCol w:w="1560"/>
      </w:tblGrid>
      <w:tr w:rsidR="00E7488C" w:rsidRPr="00BC5E04" w:rsidTr="00E7488C">
        <w:tc>
          <w:tcPr>
            <w:tcW w:w="5211" w:type="dxa"/>
            <w:shd w:val="clear" w:color="auto" w:fill="000000" w:themeFill="text1"/>
          </w:tcPr>
          <w:p w:rsidR="00E7488C" w:rsidRPr="00292716" w:rsidRDefault="00E7488C" w:rsidP="00292716">
            <w:pPr>
              <w:jc w:val="center"/>
              <w:rPr>
                <w:rFonts w:cstheme="minorHAnsi"/>
                <w:b/>
                <w:sz w:val="24"/>
                <w:szCs w:val="24"/>
              </w:rPr>
            </w:pPr>
            <w:r w:rsidRPr="00292716">
              <w:rPr>
                <w:rFonts w:cstheme="minorHAnsi"/>
                <w:b/>
                <w:sz w:val="24"/>
                <w:szCs w:val="24"/>
              </w:rPr>
              <w:lastRenderedPageBreak/>
              <w:t>SERVICE LEVEL</w:t>
            </w:r>
          </w:p>
        </w:tc>
        <w:tc>
          <w:tcPr>
            <w:tcW w:w="1418" w:type="dxa"/>
            <w:shd w:val="clear" w:color="auto" w:fill="000000" w:themeFill="text1"/>
          </w:tcPr>
          <w:p w:rsidR="00E7488C" w:rsidRPr="00292716" w:rsidRDefault="00E7488C" w:rsidP="00292716">
            <w:pPr>
              <w:jc w:val="center"/>
              <w:rPr>
                <w:rFonts w:cstheme="minorHAnsi"/>
                <w:b/>
                <w:sz w:val="24"/>
                <w:szCs w:val="24"/>
              </w:rPr>
            </w:pPr>
            <w:r>
              <w:rPr>
                <w:rFonts w:cstheme="minorHAnsi"/>
                <w:b/>
                <w:sz w:val="24"/>
                <w:szCs w:val="24"/>
              </w:rPr>
              <w:t>Wealth</w:t>
            </w:r>
          </w:p>
        </w:tc>
        <w:tc>
          <w:tcPr>
            <w:tcW w:w="1357" w:type="dxa"/>
            <w:shd w:val="clear" w:color="auto" w:fill="000000" w:themeFill="text1"/>
          </w:tcPr>
          <w:p w:rsidR="00E7488C" w:rsidRPr="00292716" w:rsidRDefault="00E7488C" w:rsidP="00292716">
            <w:pPr>
              <w:jc w:val="center"/>
              <w:rPr>
                <w:rFonts w:cstheme="minorHAnsi"/>
                <w:b/>
                <w:sz w:val="24"/>
                <w:szCs w:val="24"/>
              </w:rPr>
            </w:pPr>
            <w:r>
              <w:rPr>
                <w:rFonts w:cstheme="minorHAnsi"/>
                <w:b/>
                <w:sz w:val="24"/>
                <w:szCs w:val="24"/>
              </w:rPr>
              <w:t>Premium</w:t>
            </w:r>
          </w:p>
        </w:tc>
        <w:tc>
          <w:tcPr>
            <w:tcW w:w="1560" w:type="dxa"/>
            <w:shd w:val="clear" w:color="auto" w:fill="000000" w:themeFill="text1"/>
          </w:tcPr>
          <w:p w:rsidR="00E7488C" w:rsidRPr="00292716" w:rsidRDefault="00E7488C" w:rsidP="00292716">
            <w:pPr>
              <w:jc w:val="center"/>
              <w:rPr>
                <w:rFonts w:cstheme="minorHAnsi"/>
                <w:b/>
                <w:sz w:val="24"/>
                <w:szCs w:val="24"/>
              </w:rPr>
            </w:pPr>
            <w:r w:rsidRPr="00292716">
              <w:rPr>
                <w:rFonts w:cstheme="minorHAnsi"/>
                <w:b/>
                <w:sz w:val="24"/>
                <w:szCs w:val="24"/>
              </w:rPr>
              <w:t>Transactional only</w:t>
            </w:r>
          </w:p>
        </w:tc>
      </w:tr>
      <w:tr w:rsidR="00E7488C" w:rsidRPr="00BC5E04" w:rsidTr="00E7488C">
        <w:trPr>
          <w:trHeight w:val="272"/>
        </w:trPr>
        <w:tc>
          <w:tcPr>
            <w:tcW w:w="5211" w:type="dxa"/>
          </w:tcPr>
          <w:p w:rsidR="00E7488C" w:rsidRPr="00292716" w:rsidRDefault="00E7488C" w:rsidP="00292716">
            <w:pPr>
              <w:rPr>
                <w:rFonts w:cstheme="minorHAnsi"/>
                <w:sz w:val="24"/>
                <w:szCs w:val="24"/>
              </w:rPr>
            </w:pPr>
          </w:p>
        </w:tc>
        <w:tc>
          <w:tcPr>
            <w:tcW w:w="1418" w:type="dxa"/>
          </w:tcPr>
          <w:p w:rsidR="00E7488C" w:rsidRPr="00292716" w:rsidRDefault="00E7488C" w:rsidP="00292716">
            <w:pPr>
              <w:jc w:val="center"/>
              <w:rPr>
                <w:rFonts w:cstheme="minorHAnsi"/>
                <w:b/>
                <w:sz w:val="24"/>
                <w:szCs w:val="24"/>
              </w:rPr>
            </w:pPr>
          </w:p>
        </w:tc>
        <w:tc>
          <w:tcPr>
            <w:tcW w:w="1357" w:type="dxa"/>
          </w:tcPr>
          <w:p w:rsidR="00E7488C" w:rsidRPr="00292716" w:rsidRDefault="00E7488C" w:rsidP="00292716">
            <w:pPr>
              <w:jc w:val="center"/>
              <w:rPr>
                <w:rFonts w:cstheme="minorHAnsi"/>
                <w:b/>
                <w:sz w:val="24"/>
                <w:szCs w:val="24"/>
              </w:rPr>
            </w:pPr>
          </w:p>
        </w:tc>
        <w:tc>
          <w:tcPr>
            <w:tcW w:w="1560" w:type="dxa"/>
          </w:tcPr>
          <w:p w:rsidR="00E7488C" w:rsidRPr="00292716" w:rsidRDefault="00E7488C" w:rsidP="00292716">
            <w:pPr>
              <w:jc w:val="center"/>
              <w:rPr>
                <w:rFonts w:cstheme="minorHAnsi"/>
                <w:b/>
                <w:sz w:val="24"/>
                <w:szCs w:val="24"/>
              </w:rPr>
            </w:pPr>
          </w:p>
        </w:tc>
      </w:tr>
      <w:tr w:rsidR="00E7488C" w:rsidRPr="00BC5E04" w:rsidTr="00E7488C">
        <w:trPr>
          <w:trHeight w:val="272"/>
        </w:trPr>
        <w:tc>
          <w:tcPr>
            <w:tcW w:w="5211" w:type="dxa"/>
          </w:tcPr>
          <w:p w:rsidR="00E7488C" w:rsidRPr="00292716" w:rsidRDefault="00E7488C" w:rsidP="00292716">
            <w:pPr>
              <w:rPr>
                <w:rFonts w:cstheme="minorHAnsi"/>
                <w:sz w:val="24"/>
                <w:szCs w:val="24"/>
              </w:rPr>
            </w:pPr>
            <w:r w:rsidRPr="00292716">
              <w:rPr>
                <w:rFonts w:cstheme="minorHAnsi"/>
                <w:sz w:val="24"/>
                <w:szCs w:val="24"/>
              </w:rPr>
              <w:t>Annual statement of holdings</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Access to our support team</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Professional expertise and governance embedded into our investment processes</w:t>
            </w:r>
          </w:p>
        </w:tc>
        <w:tc>
          <w:tcPr>
            <w:tcW w:w="1418" w:type="dxa"/>
          </w:tcPr>
          <w:p w:rsidR="00E7488C" w:rsidRPr="00292716" w:rsidRDefault="00E7488C" w:rsidP="00292716">
            <w:pPr>
              <w:jc w:val="center"/>
              <w:rPr>
                <w:rFonts w:cstheme="minorHAnsi"/>
                <w:b/>
                <w:sz w:val="24"/>
                <w:szCs w:val="24"/>
              </w:rPr>
            </w:pPr>
          </w:p>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p>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Regular Portfolio Rebalancing</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A1096B" w:rsidP="00292716">
            <w:pPr>
              <w:rPr>
                <w:rFonts w:cstheme="minorHAnsi"/>
                <w:sz w:val="24"/>
                <w:szCs w:val="24"/>
              </w:rPr>
            </w:pPr>
            <w:r>
              <w:rPr>
                <w:rFonts w:cstheme="minorHAnsi"/>
                <w:sz w:val="24"/>
                <w:szCs w:val="24"/>
              </w:rPr>
              <w:t>Quarterly</w:t>
            </w:r>
            <w:r w:rsidR="00E7488C" w:rsidRPr="00292716">
              <w:rPr>
                <w:rFonts w:cstheme="minorHAnsi"/>
                <w:sz w:val="24"/>
                <w:szCs w:val="24"/>
              </w:rPr>
              <w:t xml:space="preserve"> Valuations</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9F72ED">
            <w:pPr>
              <w:rPr>
                <w:rFonts w:cstheme="minorHAnsi"/>
                <w:sz w:val="24"/>
                <w:szCs w:val="24"/>
              </w:rPr>
            </w:pPr>
            <w:r w:rsidRPr="00292716">
              <w:rPr>
                <w:rFonts w:cstheme="minorHAnsi"/>
                <w:sz w:val="24"/>
                <w:szCs w:val="24"/>
              </w:rPr>
              <w:t>On-going Expert Support</w:t>
            </w:r>
          </w:p>
        </w:tc>
        <w:tc>
          <w:tcPr>
            <w:tcW w:w="1418" w:type="dxa"/>
          </w:tcPr>
          <w:p w:rsidR="00E7488C" w:rsidRPr="00292716" w:rsidRDefault="00E7488C" w:rsidP="009F72ED">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9F72ED">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9F72ED">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On-going access to your adviser</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Review Meetings including:</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Review of Objectives</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Review of Risk Profile</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Review of Asset Allocation (if required)</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Review of Tax Changes</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Updates &amp; Valuations</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Comprehensive Financial Health Check:</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Detailed Tax Planning</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Estate Planning</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sz w:val="24"/>
                <w:szCs w:val="24"/>
              </w:rPr>
            </w:pPr>
            <w:r w:rsidRPr="00292716">
              <w:rPr>
                <w:rFonts w:cstheme="minorHAnsi"/>
                <w:sz w:val="24"/>
                <w:szCs w:val="24"/>
              </w:rPr>
              <w:t>Liaison with accountant / solicitor (if required)</w:t>
            </w:r>
          </w:p>
        </w:tc>
        <w:tc>
          <w:tcPr>
            <w:tcW w:w="1418" w:type="dxa"/>
          </w:tcPr>
          <w:p w:rsidR="00E7488C" w:rsidRPr="00292716" w:rsidRDefault="00E7488C" w:rsidP="00292716">
            <w:pPr>
              <w:jc w:val="center"/>
              <w:rPr>
                <w:rFonts w:cstheme="minorHAnsi"/>
                <w:b/>
                <w:sz w:val="24"/>
                <w:szCs w:val="24"/>
              </w:rPr>
            </w:pPr>
            <w:r w:rsidRPr="00292716">
              <w:rPr>
                <w:rFonts w:cstheme="minorHAnsi"/>
                <w:b/>
                <w:sz w:val="24"/>
                <w:szCs w:val="24"/>
              </w:rPr>
              <w:sym w:font="Wingdings" w:char="F0FC"/>
            </w:r>
          </w:p>
        </w:tc>
        <w:tc>
          <w:tcPr>
            <w:tcW w:w="1357" w:type="dxa"/>
          </w:tcPr>
          <w:p w:rsidR="00E7488C" w:rsidRPr="00292716" w:rsidRDefault="00E7488C" w:rsidP="00292716">
            <w:pPr>
              <w:jc w:val="center"/>
              <w:rPr>
                <w:rFonts w:cstheme="minorHAnsi"/>
                <w:b/>
                <w:sz w:val="24"/>
                <w:szCs w:val="24"/>
              </w:rPr>
            </w:pPr>
          </w:p>
        </w:tc>
        <w:tc>
          <w:tcPr>
            <w:tcW w:w="1560" w:type="dxa"/>
          </w:tcPr>
          <w:p w:rsidR="00E7488C" w:rsidRPr="00292716" w:rsidRDefault="00E7488C" w:rsidP="00292716">
            <w:pPr>
              <w:jc w:val="center"/>
              <w:rPr>
                <w:rFonts w:cstheme="minorHAnsi"/>
                <w:b/>
                <w:sz w:val="24"/>
                <w:szCs w:val="24"/>
              </w:rPr>
            </w:pPr>
          </w:p>
        </w:tc>
      </w:tr>
      <w:tr w:rsidR="00E7488C" w:rsidRPr="00BC5E04" w:rsidTr="00E7488C">
        <w:tc>
          <w:tcPr>
            <w:tcW w:w="5211" w:type="dxa"/>
          </w:tcPr>
          <w:p w:rsidR="00E7488C" w:rsidRPr="00292716" w:rsidRDefault="00E7488C" w:rsidP="00292716">
            <w:pPr>
              <w:rPr>
                <w:rFonts w:cstheme="minorHAnsi"/>
                <w:b/>
                <w:sz w:val="24"/>
                <w:szCs w:val="24"/>
              </w:rPr>
            </w:pPr>
          </w:p>
          <w:p w:rsidR="00E7488C" w:rsidRPr="00292716" w:rsidRDefault="00763688" w:rsidP="003A544C">
            <w:pPr>
              <w:rPr>
                <w:rFonts w:cstheme="minorHAnsi"/>
                <w:b/>
                <w:sz w:val="24"/>
                <w:szCs w:val="24"/>
              </w:rPr>
            </w:pPr>
            <w:r>
              <w:rPr>
                <w:rFonts w:cstheme="minorHAnsi"/>
                <w:b/>
                <w:sz w:val="24"/>
                <w:szCs w:val="24"/>
              </w:rPr>
              <w:t>Initial</w:t>
            </w:r>
            <w:r w:rsidR="00E7488C">
              <w:rPr>
                <w:rFonts w:cstheme="minorHAnsi"/>
                <w:b/>
                <w:sz w:val="24"/>
                <w:szCs w:val="24"/>
              </w:rPr>
              <w:t xml:space="preserve"> </w:t>
            </w:r>
          </w:p>
        </w:tc>
        <w:tc>
          <w:tcPr>
            <w:tcW w:w="1418" w:type="dxa"/>
          </w:tcPr>
          <w:p w:rsidR="00E7488C" w:rsidRPr="00292716" w:rsidRDefault="00E7488C" w:rsidP="00292716">
            <w:pPr>
              <w:jc w:val="center"/>
              <w:rPr>
                <w:rFonts w:cstheme="minorHAnsi"/>
                <w:b/>
                <w:sz w:val="24"/>
                <w:szCs w:val="24"/>
              </w:rPr>
            </w:pPr>
          </w:p>
          <w:p w:rsidR="00E7488C" w:rsidRPr="00292716" w:rsidRDefault="00944BCF" w:rsidP="003A544C">
            <w:pPr>
              <w:jc w:val="center"/>
              <w:rPr>
                <w:rFonts w:cstheme="minorHAnsi"/>
                <w:b/>
                <w:sz w:val="24"/>
                <w:szCs w:val="24"/>
              </w:rPr>
            </w:pPr>
            <w:r>
              <w:rPr>
                <w:rFonts w:cstheme="minorHAnsi"/>
                <w:b/>
                <w:sz w:val="24"/>
                <w:szCs w:val="24"/>
              </w:rPr>
              <w:t>1%</w:t>
            </w:r>
          </w:p>
        </w:tc>
        <w:tc>
          <w:tcPr>
            <w:tcW w:w="1357" w:type="dxa"/>
          </w:tcPr>
          <w:p w:rsidR="00E7488C" w:rsidRPr="00292716" w:rsidRDefault="00E7488C" w:rsidP="00292716">
            <w:pPr>
              <w:jc w:val="center"/>
              <w:rPr>
                <w:rFonts w:cstheme="minorHAnsi"/>
                <w:b/>
                <w:sz w:val="24"/>
                <w:szCs w:val="24"/>
              </w:rPr>
            </w:pPr>
          </w:p>
          <w:p w:rsidR="00E7488C" w:rsidRPr="00292716" w:rsidRDefault="001544A7" w:rsidP="001544A7">
            <w:pPr>
              <w:jc w:val="center"/>
              <w:rPr>
                <w:rFonts w:cstheme="minorHAnsi"/>
                <w:b/>
                <w:sz w:val="24"/>
                <w:szCs w:val="24"/>
              </w:rPr>
            </w:pPr>
            <w:r>
              <w:rPr>
                <w:rFonts w:cstheme="minorHAnsi"/>
                <w:b/>
                <w:sz w:val="24"/>
                <w:szCs w:val="24"/>
              </w:rPr>
              <w:t xml:space="preserve"> 3</w:t>
            </w:r>
            <w:r w:rsidR="00944BCF">
              <w:rPr>
                <w:rFonts w:cstheme="minorHAnsi"/>
                <w:b/>
                <w:sz w:val="24"/>
                <w:szCs w:val="24"/>
              </w:rPr>
              <w:t>%</w:t>
            </w:r>
          </w:p>
        </w:tc>
        <w:tc>
          <w:tcPr>
            <w:tcW w:w="1560" w:type="dxa"/>
          </w:tcPr>
          <w:p w:rsidR="00E7488C" w:rsidRPr="00292716" w:rsidRDefault="00E7488C" w:rsidP="00292716">
            <w:pPr>
              <w:jc w:val="center"/>
              <w:rPr>
                <w:rFonts w:cstheme="minorHAnsi"/>
                <w:b/>
                <w:sz w:val="24"/>
                <w:szCs w:val="24"/>
              </w:rPr>
            </w:pPr>
          </w:p>
          <w:p w:rsidR="00E7488C" w:rsidRPr="00292716" w:rsidRDefault="00944BCF" w:rsidP="00944BCF">
            <w:pPr>
              <w:jc w:val="center"/>
              <w:rPr>
                <w:rFonts w:cstheme="minorHAnsi"/>
                <w:b/>
                <w:sz w:val="24"/>
                <w:szCs w:val="24"/>
              </w:rPr>
            </w:pPr>
            <w:r>
              <w:rPr>
                <w:rFonts w:cstheme="minorHAnsi"/>
                <w:b/>
                <w:sz w:val="24"/>
                <w:szCs w:val="24"/>
              </w:rPr>
              <w:t>£100 per hour</w:t>
            </w:r>
          </w:p>
        </w:tc>
      </w:tr>
      <w:tr w:rsidR="00E7488C" w:rsidRPr="00BC5E04" w:rsidTr="00E7488C">
        <w:tc>
          <w:tcPr>
            <w:tcW w:w="5211" w:type="dxa"/>
          </w:tcPr>
          <w:p w:rsidR="00E7488C" w:rsidRDefault="00763688" w:rsidP="00292716">
            <w:pPr>
              <w:rPr>
                <w:rFonts w:cstheme="minorHAnsi"/>
                <w:b/>
                <w:sz w:val="24"/>
                <w:szCs w:val="24"/>
              </w:rPr>
            </w:pPr>
            <w:r>
              <w:rPr>
                <w:rFonts w:cstheme="minorHAnsi"/>
                <w:b/>
                <w:sz w:val="24"/>
                <w:szCs w:val="24"/>
              </w:rPr>
              <w:t>Annual</w:t>
            </w:r>
          </w:p>
          <w:p w:rsidR="00E7488C" w:rsidRPr="00292716" w:rsidRDefault="00E7488C" w:rsidP="00292716">
            <w:pPr>
              <w:rPr>
                <w:rFonts w:cstheme="minorHAnsi"/>
                <w:b/>
                <w:sz w:val="24"/>
                <w:szCs w:val="24"/>
              </w:rPr>
            </w:pPr>
          </w:p>
        </w:tc>
        <w:tc>
          <w:tcPr>
            <w:tcW w:w="1418" w:type="dxa"/>
          </w:tcPr>
          <w:p w:rsidR="00E7488C" w:rsidRDefault="00E7488C" w:rsidP="00292716">
            <w:pPr>
              <w:jc w:val="center"/>
              <w:rPr>
                <w:rFonts w:cstheme="minorHAnsi"/>
                <w:b/>
                <w:sz w:val="24"/>
                <w:szCs w:val="24"/>
              </w:rPr>
            </w:pPr>
          </w:p>
          <w:p w:rsidR="00E7488C" w:rsidRPr="00292716" w:rsidRDefault="00E7488C" w:rsidP="00292716">
            <w:pPr>
              <w:jc w:val="center"/>
              <w:rPr>
                <w:rFonts w:cstheme="minorHAnsi"/>
                <w:b/>
                <w:sz w:val="24"/>
                <w:szCs w:val="24"/>
              </w:rPr>
            </w:pPr>
            <w:bookmarkStart w:id="0" w:name="_GoBack"/>
            <w:bookmarkEnd w:id="0"/>
            <w:r>
              <w:rPr>
                <w:rFonts w:cstheme="minorHAnsi"/>
                <w:b/>
                <w:sz w:val="24"/>
                <w:szCs w:val="24"/>
              </w:rPr>
              <w:t>1%</w:t>
            </w:r>
          </w:p>
        </w:tc>
        <w:tc>
          <w:tcPr>
            <w:tcW w:w="1357" w:type="dxa"/>
          </w:tcPr>
          <w:p w:rsidR="00E7488C" w:rsidRDefault="00E7488C" w:rsidP="00292716">
            <w:pPr>
              <w:jc w:val="center"/>
              <w:rPr>
                <w:rFonts w:cstheme="minorHAnsi"/>
                <w:b/>
                <w:sz w:val="24"/>
                <w:szCs w:val="24"/>
              </w:rPr>
            </w:pPr>
          </w:p>
          <w:p w:rsidR="00E7488C" w:rsidRPr="00292716" w:rsidRDefault="00E7488C" w:rsidP="00292716">
            <w:pPr>
              <w:jc w:val="center"/>
              <w:rPr>
                <w:rFonts w:cstheme="minorHAnsi"/>
                <w:b/>
                <w:sz w:val="24"/>
                <w:szCs w:val="24"/>
              </w:rPr>
            </w:pPr>
            <w:r>
              <w:rPr>
                <w:rFonts w:cstheme="minorHAnsi"/>
                <w:b/>
                <w:sz w:val="24"/>
                <w:szCs w:val="24"/>
              </w:rPr>
              <w:t>0.5%</w:t>
            </w:r>
          </w:p>
        </w:tc>
        <w:tc>
          <w:tcPr>
            <w:tcW w:w="1560" w:type="dxa"/>
          </w:tcPr>
          <w:p w:rsidR="00E7488C" w:rsidRDefault="00E7488C" w:rsidP="00292716">
            <w:pPr>
              <w:jc w:val="center"/>
              <w:rPr>
                <w:rFonts w:cstheme="minorHAnsi"/>
                <w:b/>
                <w:sz w:val="24"/>
                <w:szCs w:val="24"/>
              </w:rPr>
            </w:pPr>
          </w:p>
          <w:p w:rsidR="00E7488C" w:rsidRPr="00292716" w:rsidRDefault="00E7488C" w:rsidP="00292716">
            <w:pPr>
              <w:jc w:val="center"/>
              <w:rPr>
                <w:rFonts w:cstheme="minorHAnsi"/>
                <w:b/>
                <w:sz w:val="24"/>
                <w:szCs w:val="24"/>
              </w:rPr>
            </w:pPr>
            <w:r>
              <w:rPr>
                <w:rFonts w:cstheme="minorHAnsi"/>
                <w:b/>
                <w:sz w:val="24"/>
                <w:szCs w:val="24"/>
              </w:rPr>
              <w:t>nil</w:t>
            </w:r>
          </w:p>
        </w:tc>
      </w:tr>
    </w:tbl>
    <w:p w:rsidR="00BC5E04" w:rsidRPr="00BC5E04" w:rsidRDefault="00BC5E04" w:rsidP="00BC5E04">
      <w:pPr>
        <w:rPr>
          <w:rFonts w:cstheme="minorHAnsi"/>
          <w:sz w:val="20"/>
          <w:szCs w:val="20"/>
        </w:rPr>
      </w:pPr>
      <w:r w:rsidRPr="00BC5E04">
        <w:rPr>
          <w:rFonts w:cstheme="minorHAnsi"/>
          <w:sz w:val="20"/>
          <w:szCs w:val="20"/>
        </w:rPr>
        <w:br w:type="page"/>
      </w:r>
    </w:p>
    <w:p w:rsidR="00275932" w:rsidRDefault="00275932" w:rsidP="00BC5E04">
      <w:pPr>
        <w:rPr>
          <w:b/>
        </w:rPr>
      </w:pPr>
    </w:p>
    <w:p w:rsidR="00275932" w:rsidRDefault="00275932" w:rsidP="00BC5E04">
      <w:pPr>
        <w:rPr>
          <w:b/>
        </w:rPr>
      </w:pPr>
    </w:p>
    <w:p w:rsidR="003A544C" w:rsidRDefault="003A544C" w:rsidP="003A544C">
      <w:r>
        <w:t xml:space="preserve">I/We would like to subscribe to the following </w:t>
      </w:r>
      <w:r w:rsidR="00AD415A">
        <w:t xml:space="preserve">ongoing </w:t>
      </w:r>
      <w:r>
        <w:t>service option:</w:t>
      </w:r>
      <w:r>
        <w:br/>
        <w:t xml:space="preserve">(please </w:t>
      </w:r>
      <w:r w:rsidR="0058099C">
        <w:t>write a ‘Y’ in</w:t>
      </w:r>
      <w:r>
        <w:t xml:space="preserve"> the appropriate box)</w:t>
      </w:r>
    </w:p>
    <w:p w:rsidR="005006FB" w:rsidRPr="00C07B3F" w:rsidRDefault="005006FB" w:rsidP="005006FB">
      <w:pPr>
        <w:rPr>
          <w:b/>
          <w:u w:val="single"/>
        </w:rPr>
      </w:pPr>
      <w:r w:rsidRPr="00C07B3F">
        <w:rPr>
          <w:b/>
          <w:u w:val="single"/>
        </w:rPr>
        <w:t>Wealth Client Service Option</w:t>
      </w:r>
    </w:p>
    <w:tbl>
      <w:tblPr>
        <w:tblStyle w:val="TableGrid"/>
        <w:tblpPr w:leftFromText="180" w:rightFromText="180" w:vertAnchor="text" w:horzAnchor="page" w:tblpX="9518" w:tblpY="343"/>
        <w:tblW w:w="0" w:type="auto"/>
        <w:tblLook w:val="04A0" w:firstRow="1" w:lastRow="0" w:firstColumn="1" w:lastColumn="0" w:noHBand="0" w:noVBand="1"/>
      </w:tblPr>
      <w:tblGrid>
        <w:gridCol w:w="723"/>
      </w:tblGrid>
      <w:tr w:rsidR="00DB6B8E" w:rsidTr="00695F48">
        <w:trPr>
          <w:trHeight w:val="284"/>
        </w:trPr>
        <w:tc>
          <w:tcPr>
            <w:tcW w:w="723" w:type="dxa"/>
          </w:tcPr>
          <w:p w:rsidR="00DB6B8E" w:rsidRDefault="00DB6B8E" w:rsidP="00695F48"/>
        </w:tc>
      </w:tr>
    </w:tbl>
    <w:p w:rsidR="00DB6B8E" w:rsidRDefault="005006FB" w:rsidP="005006FB">
      <w:r>
        <w:t>I/We understand that the fee for this service is 1% of the value of the relevant investments each yea</w:t>
      </w:r>
      <w:r w:rsidR="001544A7">
        <w:t xml:space="preserve">r (which can fluctuate on a </w:t>
      </w:r>
      <w:r w:rsidR="00AF00BF">
        <w:t>monthly/</w:t>
      </w:r>
      <w:r w:rsidR="00FB7836">
        <w:t>quarterly</w:t>
      </w:r>
      <w:r w:rsidR="001544A7">
        <w:t xml:space="preserve"> basis).</w:t>
      </w:r>
      <w:r>
        <w:tab/>
      </w:r>
      <w:r>
        <w:tab/>
      </w:r>
      <w:r>
        <w:tab/>
      </w:r>
      <w:r>
        <w:tab/>
      </w:r>
      <w:r>
        <w:tab/>
      </w:r>
    </w:p>
    <w:p w:rsidR="005006FB" w:rsidRDefault="005006FB" w:rsidP="005006FB">
      <w:r>
        <w:tab/>
      </w:r>
      <w:r>
        <w:tab/>
      </w:r>
      <w:r>
        <w:tab/>
      </w:r>
      <w:r>
        <w:tab/>
      </w:r>
      <w:r>
        <w:tab/>
      </w:r>
      <w:r>
        <w:tab/>
      </w:r>
    </w:p>
    <w:p w:rsidR="005006FB" w:rsidRPr="00C07B3F" w:rsidRDefault="005006FB" w:rsidP="005006FB">
      <w:pPr>
        <w:rPr>
          <w:b/>
          <w:u w:val="single"/>
        </w:rPr>
      </w:pPr>
      <w:r w:rsidRPr="00C07B3F">
        <w:rPr>
          <w:b/>
          <w:u w:val="single"/>
        </w:rPr>
        <w:t>Premium Client Service Option</w:t>
      </w:r>
    </w:p>
    <w:tbl>
      <w:tblPr>
        <w:tblStyle w:val="TableGrid"/>
        <w:tblpPr w:leftFromText="180" w:rightFromText="180" w:vertAnchor="text" w:horzAnchor="page" w:tblpX="9523" w:tblpY="413"/>
        <w:tblW w:w="0" w:type="auto"/>
        <w:tblLook w:val="04A0" w:firstRow="1" w:lastRow="0" w:firstColumn="1" w:lastColumn="0" w:noHBand="0" w:noVBand="1"/>
      </w:tblPr>
      <w:tblGrid>
        <w:gridCol w:w="724"/>
      </w:tblGrid>
      <w:tr w:rsidR="00DB6B8E" w:rsidTr="00695F48">
        <w:trPr>
          <w:trHeight w:val="344"/>
        </w:trPr>
        <w:tc>
          <w:tcPr>
            <w:tcW w:w="724" w:type="dxa"/>
          </w:tcPr>
          <w:p w:rsidR="00DB6B8E" w:rsidRDefault="00DB6B8E" w:rsidP="00695F48"/>
        </w:tc>
      </w:tr>
    </w:tbl>
    <w:p w:rsidR="00DB6B8E" w:rsidRDefault="005006FB" w:rsidP="005006FB">
      <w:r>
        <w:t>I/We understand that the fee for this service is</w:t>
      </w:r>
      <w:r w:rsidR="001544A7">
        <w:t xml:space="preserve"> up to 3</w:t>
      </w:r>
      <w:r>
        <w:t>% of the initial investment and 0.5% of the value of relevant investments each year</w:t>
      </w:r>
      <w:r w:rsidR="001544A7">
        <w:t xml:space="preserve"> </w:t>
      </w:r>
      <w:r w:rsidR="001544A7" w:rsidRPr="001544A7">
        <w:t>(which can fluctuate on a monthly basis).</w:t>
      </w:r>
      <w:r w:rsidR="001544A7" w:rsidRPr="001544A7">
        <w:tab/>
      </w:r>
      <w:r>
        <w:tab/>
      </w:r>
      <w:r>
        <w:tab/>
      </w:r>
      <w:r>
        <w:tab/>
      </w:r>
    </w:p>
    <w:p w:rsidR="005006FB" w:rsidRDefault="005006FB" w:rsidP="005006FB">
      <w:r>
        <w:tab/>
      </w:r>
      <w:r>
        <w:tab/>
      </w:r>
    </w:p>
    <w:p w:rsidR="005006FB" w:rsidRPr="00C07B3F" w:rsidRDefault="005006FB" w:rsidP="005006FB">
      <w:pPr>
        <w:rPr>
          <w:b/>
          <w:u w:val="single"/>
        </w:rPr>
      </w:pPr>
      <w:r w:rsidRPr="00C07B3F">
        <w:rPr>
          <w:b/>
          <w:u w:val="single"/>
        </w:rPr>
        <w:t>Transactional only Client Service Option</w:t>
      </w:r>
    </w:p>
    <w:tbl>
      <w:tblPr>
        <w:tblStyle w:val="TableGrid"/>
        <w:tblpPr w:leftFromText="180" w:rightFromText="180" w:vertAnchor="text" w:horzAnchor="page" w:tblpX="9538" w:tblpY="-25"/>
        <w:tblW w:w="0" w:type="auto"/>
        <w:tblLook w:val="04A0" w:firstRow="1" w:lastRow="0" w:firstColumn="1" w:lastColumn="0" w:noHBand="0" w:noVBand="1"/>
      </w:tblPr>
      <w:tblGrid>
        <w:gridCol w:w="741"/>
      </w:tblGrid>
      <w:tr w:rsidR="00DB6B8E" w:rsidTr="00695F48">
        <w:trPr>
          <w:trHeight w:val="298"/>
        </w:trPr>
        <w:tc>
          <w:tcPr>
            <w:tcW w:w="741" w:type="dxa"/>
          </w:tcPr>
          <w:p w:rsidR="00DB6B8E" w:rsidRDefault="00DB6B8E" w:rsidP="00695F48"/>
        </w:tc>
      </w:tr>
    </w:tbl>
    <w:p w:rsidR="001544A7" w:rsidRDefault="005006FB" w:rsidP="005006FB">
      <w:r>
        <w:t>I/We understand that the fee for this service is £100.00 per hour of time spent</w:t>
      </w:r>
      <w:r w:rsidR="001544A7">
        <w:t xml:space="preserve"> </w:t>
      </w:r>
      <w:r>
        <w:tab/>
      </w:r>
      <w:r>
        <w:tab/>
      </w:r>
      <w:r>
        <w:tab/>
      </w:r>
      <w:r>
        <w:tab/>
      </w:r>
      <w:r w:rsidR="001544A7">
        <w:t>(Time to be agreed at initial meeting).</w:t>
      </w:r>
    </w:p>
    <w:p w:rsidR="005006FB" w:rsidRDefault="005006FB" w:rsidP="003A544C"/>
    <w:tbl>
      <w:tblPr>
        <w:tblStyle w:val="TableGrid"/>
        <w:tblpPr w:leftFromText="180" w:rightFromText="180" w:vertAnchor="text" w:horzAnchor="page" w:tblpX="9688" w:tblpY="86"/>
        <w:tblW w:w="0" w:type="auto"/>
        <w:tblLook w:val="04A0" w:firstRow="1" w:lastRow="0" w:firstColumn="1" w:lastColumn="0" w:noHBand="0" w:noVBand="1"/>
      </w:tblPr>
      <w:tblGrid>
        <w:gridCol w:w="632"/>
      </w:tblGrid>
      <w:tr w:rsidR="00695F48" w:rsidTr="00695F48">
        <w:trPr>
          <w:trHeight w:val="285"/>
        </w:trPr>
        <w:tc>
          <w:tcPr>
            <w:tcW w:w="632" w:type="dxa"/>
          </w:tcPr>
          <w:p w:rsidR="00695F48" w:rsidRDefault="00695F48" w:rsidP="00695F48"/>
        </w:tc>
      </w:tr>
    </w:tbl>
    <w:p w:rsidR="003E6AB8" w:rsidRDefault="00AD415A" w:rsidP="003A544C">
      <w:r>
        <w:t xml:space="preserve">I/We wish for the cost of the ongoing service to be paid by deduction from the policies we hold      </w:t>
      </w:r>
      <w:r w:rsidR="005006FB">
        <w:tab/>
      </w:r>
    </w:p>
    <w:p w:rsidR="00AD415A" w:rsidRDefault="00AD415A" w:rsidP="003A544C"/>
    <w:tbl>
      <w:tblPr>
        <w:tblStyle w:val="TableGrid"/>
        <w:tblpPr w:leftFromText="180" w:rightFromText="180" w:vertAnchor="text" w:horzAnchor="page" w:tblpX="9643" w:tblpY="61"/>
        <w:tblW w:w="0" w:type="auto"/>
        <w:tblLook w:val="04A0" w:firstRow="1" w:lastRow="0" w:firstColumn="1" w:lastColumn="0" w:noHBand="0" w:noVBand="1"/>
      </w:tblPr>
      <w:tblGrid>
        <w:gridCol w:w="617"/>
      </w:tblGrid>
      <w:tr w:rsidR="003E6AB8" w:rsidTr="00695F48">
        <w:trPr>
          <w:trHeight w:val="285"/>
        </w:trPr>
        <w:tc>
          <w:tcPr>
            <w:tcW w:w="617" w:type="dxa"/>
          </w:tcPr>
          <w:p w:rsidR="003E6AB8" w:rsidRDefault="003E6AB8" w:rsidP="00695F48"/>
        </w:tc>
      </w:tr>
    </w:tbl>
    <w:p w:rsidR="003E6AB8" w:rsidRDefault="00AD415A" w:rsidP="00AD415A">
      <w:r>
        <w:t>I/We wish for the cost of the ongoing service to be charged directly to me on a monthly</w:t>
      </w:r>
      <w:r w:rsidR="001544A7">
        <w:t xml:space="preserve"> </w:t>
      </w:r>
      <w:r>
        <w:t xml:space="preserve">basis    </w:t>
      </w:r>
      <w:r w:rsidR="005006FB">
        <w:tab/>
      </w:r>
      <w:r w:rsidR="001544A7">
        <w:tab/>
      </w:r>
    </w:p>
    <w:p w:rsidR="00AD415A" w:rsidRDefault="00AD415A" w:rsidP="00AD415A">
      <w:r>
        <w:t xml:space="preserve"> </w:t>
      </w:r>
    </w:p>
    <w:tbl>
      <w:tblPr>
        <w:tblStyle w:val="TableGrid"/>
        <w:tblW w:w="0" w:type="auto"/>
        <w:tblLook w:val="04A0" w:firstRow="1" w:lastRow="0" w:firstColumn="1" w:lastColumn="0" w:noHBand="0" w:noVBand="1"/>
      </w:tblPr>
      <w:tblGrid>
        <w:gridCol w:w="2943"/>
        <w:gridCol w:w="3746"/>
      </w:tblGrid>
      <w:tr w:rsidR="00F47AB9" w:rsidRPr="00F47AB9" w:rsidTr="00F47AB9">
        <w:trPr>
          <w:trHeight w:val="260"/>
        </w:trPr>
        <w:tc>
          <w:tcPr>
            <w:tcW w:w="2943" w:type="dxa"/>
          </w:tcPr>
          <w:p w:rsidR="00F47AB9" w:rsidRDefault="00F47AB9" w:rsidP="00E87ED3">
            <w:r w:rsidRPr="00F47AB9">
              <w:t xml:space="preserve">Signed: </w:t>
            </w:r>
          </w:p>
          <w:p w:rsidR="00F47AB9" w:rsidRPr="00F47AB9" w:rsidRDefault="00F47AB9" w:rsidP="00E87ED3"/>
        </w:tc>
        <w:tc>
          <w:tcPr>
            <w:tcW w:w="3746" w:type="dxa"/>
          </w:tcPr>
          <w:p w:rsidR="00F47AB9" w:rsidRPr="00F47AB9" w:rsidRDefault="00F47AB9" w:rsidP="00E87ED3"/>
        </w:tc>
      </w:tr>
      <w:tr w:rsidR="00F47AB9" w:rsidRPr="00F47AB9" w:rsidTr="00F47AB9">
        <w:trPr>
          <w:trHeight w:val="275"/>
        </w:trPr>
        <w:tc>
          <w:tcPr>
            <w:tcW w:w="2943" w:type="dxa"/>
          </w:tcPr>
          <w:p w:rsidR="00F47AB9" w:rsidRDefault="00F47AB9" w:rsidP="00E87ED3">
            <w:r w:rsidRPr="00F47AB9">
              <w:t>Print Name:</w:t>
            </w:r>
          </w:p>
          <w:p w:rsidR="00F47AB9" w:rsidRPr="00F47AB9" w:rsidRDefault="00F47AB9" w:rsidP="00E87ED3"/>
        </w:tc>
        <w:tc>
          <w:tcPr>
            <w:tcW w:w="3746" w:type="dxa"/>
          </w:tcPr>
          <w:p w:rsidR="00F47AB9" w:rsidRPr="00F47AB9" w:rsidRDefault="00F47AB9" w:rsidP="00E87ED3"/>
        </w:tc>
      </w:tr>
      <w:tr w:rsidR="00F47AB9" w:rsidRPr="00F47AB9" w:rsidTr="00F47AB9">
        <w:trPr>
          <w:trHeight w:val="275"/>
        </w:trPr>
        <w:tc>
          <w:tcPr>
            <w:tcW w:w="2943" w:type="dxa"/>
          </w:tcPr>
          <w:p w:rsidR="00F47AB9" w:rsidRDefault="00F47AB9" w:rsidP="00E87ED3">
            <w:r w:rsidRPr="00F47AB9">
              <w:t>Date:</w:t>
            </w:r>
          </w:p>
          <w:p w:rsidR="00F47AB9" w:rsidRPr="00F47AB9" w:rsidRDefault="00F47AB9" w:rsidP="00E87ED3"/>
        </w:tc>
        <w:tc>
          <w:tcPr>
            <w:tcW w:w="3746" w:type="dxa"/>
          </w:tcPr>
          <w:p w:rsidR="00F47AB9" w:rsidRPr="00F47AB9" w:rsidRDefault="00F47AB9" w:rsidP="00E87ED3"/>
        </w:tc>
      </w:tr>
    </w:tbl>
    <w:p w:rsidR="003A544C" w:rsidRDefault="003A544C" w:rsidP="003A544C"/>
    <w:tbl>
      <w:tblPr>
        <w:tblStyle w:val="TableGrid"/>
        <w:tblW w:w="0" w:type="auto"/>
        <w:tblLook w:val="04A0" w:firstRow="1" w:lastRow="0" w:firstColumn="1" w:lastColumn="0" w:noHBand="0" w:noVBand="1"/>
      </w:tblPr>
      <w:tblGrid>
        <w:gridCol w:w="2943"/>
        <w:gridCol w:w="3746"/>
      </w:tblGrid>
      <w:tr w:rsidR="00F47AB9" w:rsidRPr="00F47AB9" w:rsidTr="00465D51">
        <w:trPr>
          <w:trHeight w:val="260"/>
        </w:trPr>
        <w:tc>
          <w:tcPr>
            <w:tcW w:w="2943" w:type="dxa"/>
          </w:tcPr>
          <w:p w:rsidR="00F47AB9" w:rsidRDefault="00F47AB9" w:rsidP="00465D51">
            <w:r w:rsidRPr="00F47AB9">
              <w:t xml:space="preserve">Signed: </w:t>
            </w:r>
          </w:p>
          <w:p w:rsidR="00F47AB9" w:rsidRPr="00F47AB9" w:rsidRDefault="00F47AB9" w:rsidP="00465D51"/>
        </w:tc>
        <w:tc>
          <w:tcPr>
            <w:tcW w:w="3746" w:type="dxa"/>
          </w:tcPr>
          <w:p w:rsidR="00F47AB9" w:rsidRPr="00F47AB9" w:rsidRDefault="00F47AB9" w:rsidP="00465D51"/>
        </w:tc>
      </w:tr>
      <w:tr w:rsidR="00F47AB9" w:rsidRPr="00F47AB9" w:rsidTr="00465D51">
        <w:trPr>
          <w:trHeight w:val="275"/>
        </w:trPr>
        <w:tc>
          <w:tcPr>
            <w:tcW w:w="2943" w:type="dxa"/>
          </w:tcPr>
          <w:p w:rsidR="00F47AB9" w:rsidRDefault="00F47AB9" w:rsidP="00465D51">
            <w:r w:rsidRPr="00F47AB9">
              <w:t>Print Name:</w:t>
            </w:r>
          </w:p>
          <w:p w:rsidR="00F47AB9" w:rsidRPr="00F47AB9" w:rsidRDefault="00F47AB9" w:rsidP="00465D51"/>
        </w:tc>
        <w:tc>
          <w:tcPr>
            <w:tcW w:w="3746" w:type="dxa"/>
          </w:tcPr>
          <w:p w:rsidR="00F47AB9" w:rsidRPr="00F47AB9" w:rsidRDefault="00F47AB9" w:rsidP="00465D51"/>
        </w:tc>
      </w:tr>
      <w:tr w:rsidR="00F47AB9" w:rsidRPr="00F47AB9" w:rsidTr="00465D51">
        <w:trPr>
          <w:trHeight w:val="275"/>
        </w:trPr>
        <w:tc>
          <w:tcPr>
            <w:tcW w:w="2943" w:type="dxa"/>
          </w:tcPr>
          <w:p w:rsidR="00F47AB9" w:rsidRDefault="00F47AB9" w:rsidP="00465D51">
            <w:r w:rsidRPr="00F47AB9">
              <w:t>Date:</w:t>
            </w:r>
          </w:p>
          <w:p w:rsidR="00F47AB9" w:rsidRPr="00F47AB9" w:rsidRDefault="00F47AB9" w:rsidP="00465D51"/>
        </w:tc>
        <w:tc>
          <w:tcPr>
            <w:tcW w:w="3746" w:type="dxa"/>
          </w:tcPr>
          <w:p w:rsidR="00F47AB9" w:rsidRPr="00F47AB9" w:rsidRDefault="00F47AB9" w:rsidP="00465D51"/>
        </w:tc>
      </w:tr>
    </w:tbl>
    <w:p w:rsidR="003A544C" w:rsidRDefault="003A544C" w:rsidP="003A544C"/>
    <w:p w:rsidR="003A544C" w:rsidRDefault="003A544C" w:rsidP="003A544C">
      <w:r>
        <w:t>Signed on behalf of our firm:</w:t>
      </w:r>
    </w:p>
    <w:p w:rsidR="003A544C" w:rsidRDefault="003A544C" w:rsidP="003A544C">
      <w:r>
        <w:t>Print Name:</w:t>
      </w:r>
    </w:p>
    <w:p w:rsidR="00BC5E04" w:rsidRPr="003E6AB8" w:rsidRDefault="003A544C" w:rsidP="003A544C">
      <w:r>
        <w:t>Date:</w:t>
      </w:r>
    </w:p>
    <w:sectPr w:rsidR="00BC5E04" w:rsidRPr="003E6AB8" w:rsidSect="00BC5E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Microsoft Sans Serif"/>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66F13"/>
    <w:multiLevelType w:val="hybridMultilevel"/>
    <w:tmpl w:val="15D0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A8053C"/>
    <w:multiLevelType w:val="hybridMultilevel"/>
    <w:tmpl w:val="03B8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944C2"/>
    <w:multiLevelType w:val="hybridMultilevel"/>
    <w:tmpl w:val="1FF07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0E15C2"/>
    <w:multiLevelType w:val="hybridMultilevel"/>
    <w:tmpl w:val="E7C0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41508"/>
    <w:multiLevelType w:val="hybridMultilevel"/>
    <w:tmpl w:val="F66E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167A5"/>
    <w:multiLevelType w:val="hybridMultilevel"/>
    <w:tmpl w:val="1FF07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254268"/>
    <w:multiLevelType w:val="hybridMultilevel"/>
    <w:tmpl w:val="9358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A1"/>
    <w:rsid w:val="0000599B"/>
    <w:rsid w:val="00022AB8"/>
    <w:rsid w:val="0004755A"/>
    <w:rsid w:val="000775C9"/>
    <w:rsid w:val="000C263F"/>
    <w:rsid w:val="000C7CC4"/>
    <w:rsid w:val="000D1E55"/>
    <w:rsid w:val="000F03D5"/>
    <w:rsid w:val="000F046C"/>
    <w:rsid w:val="00100A2A"/>
    <w:rsid w:val="00101789"/>
    <w:rsid w:val="00122AD0"/>
    <w:rsid w:val="001240BD"/>
    <w:rsid w:val="001500F6"/>
    <w:rsid w:val="001544A7"/>
    <w:rsid w:val="001626AF"/>
    <w:rsid w:val="0016493D"/>
    <w:rsid w:val="001774AA"/>
    <w:rsid w:val="0018110B"/>
    <w:rsid w:val="00184983"/>
    <w:rsid w:val="001A7712"/>
    <w:rsid w:val="001B3B5C"/>
    <w:rsid w:val="001C0F21"/>
    <w:rsid w:val="001C6A77"/>
    <w:rsid w:val="001C741D"/>
    <w:rsid w:val="001D5A54"/>
    <w:rsid w:val="001D6708"/>
    <w:rsid w:val="00220CEB"/>
    <w:rsid w:val="00222AB2"/>
    <w:rsid w:val="002536A3"/>
    <w:rsid w:val="00254EFA"/>
    <w:rsid w:val="00275932"/>
    <w:rsid w:val="00283EB1"/>
    <w:rsid w:val="00286991"/>
    <w:rsid w:val="00292716"/>
    <w:rsid w:val="002B34B6"/>
    <w:rsid w:val="002B5F56"/>
    <w:rsid w:val="002B780C"/>
    <w:rsid w:val="002C207D"/>
    <w:rsid w:val="002D3B65"/>
    <w:rsid w:val="002E28AE"/>
    <w:rsid w:val="002E489D"/>
    <w:rsid w:val="002F75C6"/>
    <w:rsid w:val="00315C03"/>
    <w:rsid w:val="00323818"/>
    <w:rsid w:val="00327054"/>
    <w:rsid w:val="0034612F"/>
    <w:rsid w:val="00351CB9"/>
    <w:rsid w:val="0037379C"/>
    <w:rsid w:val="00374574"/>
    <w:rsid w:val="00386205"/>
    <w:rsid w:val="003A0D1D"/>
    <w:rsid w:val="003A39B2"/>
    <w:rsid w:val="003A544C"/>
    <w:rsid w:val="003B1E2E"/>
    <w:rsid w:val="003B5FDF"/>
    <w:rsid w:val="003B6B79"/>
    <w:rsid w:val="003C3D14"/>
    <w:rsid w:val="003E6AB8"/>
    <w:rsid w:val="004038C0"/>
    <w:rsid w:val="00414B40"/>
    <w:rsid w:val="00422AC4"/>
    <w:rsid w:val="00423999"/>
    <w:rsid w:val="00424160"/>
    <w:rsid w:val="004427DA"/>
    <w:rsid w:val="004536F3"/>
    <w:rsid w:val="0046611D"/>
    <w:rsid w:val="00485227"/>
    <w:rsid w:val="004915A1"/>
    <w:rsid w:val="004A1B7B"/>
    <w:rsid w:val="004C0EBD"/>
    <w:rsid w:val="004F1CD2"/>
    <w:rsid w:val="004F2E47"/>
    <w:rsid w:val="005006FB"/>
    <w:rsid w:val="005026E7"/>
    <w:rsid w:val="005039AC"/>
    <w:rsid w:val="005218CE"/>
    <w:rsid w:val="00576695"/>
    <w:rsid w:val="0058099C"/>
    <w:rsid w:val="00582AB0"/>
    <w:rsid w:val="005B3A63"/>
    <w:rsid w:val="005B4EF2"/>
    <w:rsid w:val="005C18A4"/>
    <w:rsid w:val="005D5587"/>
    <w:rsid w:val="005E1CA0"/>
    <w:rsid w:val="005E38D8"/>
    <w:rsid w:val="005E6357"/>
    <w:rsid w:val="005F2804"/>
    <w:rsid w:val="00626123"/>
    <w:rsid w:val="00634EB0"/>
    <w:rsid w:val="00636D84"/>
    <w:rsid w:val="0064098E"/>
    <w:rsid w:val="0064321D"/>
    <w:rsid w:val="006439E2"/>
    <w:rsid w:val="00645C67"/>
    <w:rsid w:val="00646CAB"/>
    <w:rsid w:val="0065282C"/>
    <w:rsid w:val="00665FB2"/>
    <w:rsid w:val="006674F6"/>
    <w:rsid w:val="00681421"/>
    <w:rsid w:val="006933C3"/>
    <w:rsid w:val="00693433"/>
    <w:rsid w:val="00695F48"/>
    <w:rsid w:val="006B0DB5"/>
    <w:rsid w:val="0072399B"/>
    <w:rsid w:val="0073157A"/>
    <w:rsid w:val="0073670B"/>
    <w:rsid w:val="00746183"/>
    <w:rsid w:val="00763688"/>
    <w:rsid w:val="00767BDF"/>
    <w:rsid w:val="00772EDA"/>
    <w:rsid w:val="00776375"/>
    <w:rsid w:val="0078026A"/>
    <w:rsid w:val="00784D76"/>
    <w:rsid w:val="00795CD6"/>
    <w:rsid w:val="007A47C7"/>
    <w:rsid w:val="007C5669"/>
    <w:rsid w:val="007E341F"/>
    <w:rsid w:val="008601EC"/>
    <w:rsid w:val="008826B2"/>
    <w:rsid w:val="00885DBC"/>
    <w:rsid w:val="008C724C"/>
    <w:rsid w:val="008D3E94"/>
    <w:rsid w:val="008D6FEB"/>
    <w:rsid w:val="008F5D08"/>
    <w:rsid w:val="00921540"/>
    <w:rsid w:val="00925867"/>
    <w:rsid w:val="00932337"/>
    <w:rsid w:val="00944BCF"/>
    <w:rsid w:val="00954328"/>
    <w:rsid w:val="00956E04"/>
    <w:rsid w:val="00983F1A"/>
    <w:rsid w:val="00991C5C"/>
    <w:rsid w:val="00997805"/>
    <w:rsid w:val="009A289D"/>
    <w:rsid w:val="009B0996"/>
    <w:rsid w:val="009B1F2A"/>
    <w:rsid w:val="009B2876"/>
    <w:rsid w:val="009B6396"/>
    <w:rsid w:val="009E25ED"/>
    <w:rsid w:val="009F72ED"/>
    <w:rsid w:val="00A1096B"/>
    <w:rsid w:val="00A36E67"/>
    <w:rsid w:val="00A90C3B"/>
    <w:rsid w:val="00AC1B98"/>
    <w:rsid w:val="00AD3B3B"/>
    <w:rsid w:val="00AD415A"/>
    <w:rsid w:val="00AE246C"/>
    <w:rsid w:val="00AE44B5"/>
    <w:rsid w:val="00AE735D"/>
    <w:rsid w:val="00AF00BF"/>
    <w:rsid w:val="00AF5FF0"/>
    <w:rsid w:val="00B0768C"/>
    <w:rsid w:val="00B1756C"/>
    <w:rsid w:val="00B20A09"/>
    <w:rsid w:val="00B47BDF"/>
    <w:rsid w:val="00B6077A"/>
    <w:rsid w:val="00B630A3"/>
    <w:rsid w:val="00B75AF3"/>
    <w:rsid w:val="00B958E0"/>
    <w:rsid w:val="00BC5E04"/>
    <w:rsid w:val="00BD27AF"/>
    <w:rsid w:val="00BD6221"/>
    <w:rsid w:val="00BE0159"/>
    <w:rsid w:val="00BE2243"/>
    <w:rsid w:val="00BE36A4"/>
    <w:rsid w:val="00BE7C2C"/>
    <w:rsid w:val="00C07B3F"/>
    <w:rsid w:val="00C20D81"/>
    <w:rsid w:val="00C21F99"/>
    <w:rsid w:val="00C41BEA"/>
    <w:rsid w:val="00C52DD8"/>
    <w:rsid w:val="00C56EEE"/>
    <w:rsid w:val="00C57BAA"/>
    <w:rsid w:val="00C64568"/>
    <w:rsid w:val="00C6519C"/>
    <w:rsid w:val="00C8616A"/>
    <w:rsid w:val="00C9546D"/>
    <w:rsid w:val="00C96BC1"/>
    <w:rsid w:val="00CC61E0"/>
    <w:rsid w:val="00CE546B"/>
    <w:rsid w:val="00CE5614"/>
    <w:rsid w:val="00CF6049"/>
    <w:rsid w:val="00CF73A2"/>
    <w:rsid w:val="00D201E8"/>
    <w:rsid w:val="00D20442"/>
    <w:rsid w:val="00D22897"/>
    <w:rsid w:val="00D269F2"/>
    <w:rsid w:val="00D3302C"/>
    <w:rsid w:val="00D574D0"/>
    <w:rsid w:val="00D7243C"/>
    <w:rsid w:val="00D862D2"/>
    <w:rsid w:val="00DB229C"/>
    <w:rsid w:val="00DB6B8E"/>
    <w:rsid w:val="00DF762D"/>
    <w:rsid w:val="00E10A22"/>
    <w:rsid w:val="00E41C25"/>
    <w:rsid w:val="00E63C42"/>
    <w:rsid w:val="00E71A84"/>
    <w:rsid w:val="00E7488C"/>
    <w:rsid w:val="00E769F3"/>
    <w:rsid w:val="00E81979"/>
    <w:rsid w:val="00E95479"/>
    <w:rsid w:val="00E96F65"/>
    <w:rsid w:val="00EB1041"/>
    <w:rsid w:val="00EB4A24"/>
    <w:rsid w:val="00EB631C"/>
    <w:rsid w:val="00F032CD"/>
    <w:rsid w:val="00F06C09"/>
    <w:rsid w:val="00F12D44"/>
    <w:rsid w:val="00F158CD"/>
    <w:rsid w:val="00F22491"/>
    <w:rsid w:val="00F2674B"/>
    <w:rsid w:val="00F47AB9"/>
    <w:rsid w:val="00FA20F8"/>
    <w:rsid w:val="00FA453A"/>
    <w:rsid w:val="00FB7836"/>
    <w:rsid w:val="00FD57F2"/>
    <w:rsid w:val="00FE1184"/>
    <w:rsid w:val="00FE5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DD311-E3D8-47AE-975F-3295698A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B6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15A1"/>
    <w:pPr>
      <w:ind w:left="720"/>
      <w:contextualSpacing/>
    </w:pPr>
  </w:style>
  <w:style w:type="table" w:styleId="TableGrid">
    <w:name w:val="Table Grid"/>
    <w:basedOn w:val="TableNormal"/>
    <w:uiPriority w:val="59"/>
    <w:rsid w:val="00BC5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96AF6-CD72-4D50-BDD2-61BADE20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garyk</dc:creator>
  <cp:lastModifiedBy>ALI</cp:lastModifiedBy>
  <cp:revision>2</cp:revision>
  <cp:lastPrinted>2013-05-22T11:03:00Z</cp:lastPrinted>
  <dcterms:created xsi:type="dcterms:W3CDTF">2016-12-21T11:25:00Z</dcterms:created>
  <dcterms:modified xsi:type="dcterms:W3CDTF">2016-12-21T11:25:00Z</dcterms:modified>
</cp:coreProperties>
</file>